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Microsoft JhengHei" w:hAnsi="Microsoft JhengHei" w:eastAsia="Microsoft JhengHei"/>
          <w:b/>
          <w:sz w:val="30"/>
        </w:rPr>
        <w:t>〔診所名稱〕</w:t>
      </w:r>
    </w:p>
    <w:p>
      <w:pPr>
        <w:spacing w:after="160"/>
        <w:jc w:val="center"/>
      </w:pPr>
      <w:r>
        <w:rPr>
          <w:rFonts w:ascii="Microsoft JhengHei" w:hAnsi="Microsoft JhengHei" w:eastAsia="Microsoft JhengHei"/>
          <w:b w:val="0"/>
          <w:color w:val="6B7280"/>
          <w:sz w:val="19"/>
        </w:rPr>
        <w:t>〔診所地址〕　電話：〔電話〕</w:t>
      </w:r>
    </w:p>
    <w:p>
      <w:pPr>
        <w:spacing w:after="0"/>
        <w:jc w:val="center"/>
      </w:pPr>
      <w:r>
        <w:rPr>
          <w:rFonts w:ascii="Microsoft JhengHei" w:hAnsi="Microsoft JhengHei" w:eastAsia="Microsoft JhengHei"/>
          <w:b/>
          <w:sz w:val="32"/>
        </w:rPr>
        <w:t>中醫病歷紀錄</w:t>
      </w:r>
    </w:p>
    <w:p>
      <w:pPr>
        <w:spacing w:after="200"/>
        <w:jc w:val="center"/>
      </w:pPr>
      <w:r>
        <w:rPr>
          <w:rFonts w:ascii="Microsoft JhengHei" w:hAnsi="Microsoft JhengHei" w:eastAsia="Microsoft JhengHei"/>
          <w:b w:val="0"/>
          <w:color w:val="6B7280"/>
          <w:sz w:val="20"/>
        </w:rPr>
        <w:t>Chinese Medicine Medical Record</w:t>
      </w:r>
    </w:p>
    <w:p>
      <w:pPr>
        <w:spacing w:after="40"/>
      </w:pPr>
      <w:r>
        <w:rPr>
          <w:rFonts w:ascii="Microsoft JhengHei" w:hAnsi="Microsoft JhengHei" w:eastAsia="Microsoft JhengHei"/>
          <w:b/>
          <w:sz w:val="23"/>
        </w:rPr>
        <w:t>病人資料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9636" w:type="dxa"/>
        <w:tblLayout w:type="fixed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1587"/>
        <w:gridCol w:w="3231"/>
        <w:gridCol w:w="1587"/>
        <w:gridCol w:w="3231"/>
      </w:tblGrid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病人編號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〔編號〕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診症日期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〔日／月／年〕</w:t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姓名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〔中文全名〕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英文姓名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〔英文全名〕</w:t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性別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〔男／女〕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出生日期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〔日／月／年〕</w:t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聯絡電話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〔電話〕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身份證號碼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〔只寫部分，例如 A123XXX(X)〕</w:t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過敏史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〔藥物或食物過敏；無則寫「無」〕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既往史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〔重要病史、手術、長期服用的藥物〕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rFonts w:ascii="Microsoft JhengHei" w:hAnsi="Microsoft JhengHei" w:eastAsia="Microsoft JhengHei"/>
          <w:b/>
          <w:sz w:val="23"/>
        </w:rPr>
        <w:t>四診及辨證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9636" w:type="dxa"/>
        <w:tblLayout w:type="fixed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1587"/>
        <w:gridCol w:w="3231"/>
        <w:gridCol w:w="1587"/>
        <w:gridCol w:w="3231"/>
      </w:tblGrid>
      <w:tr>
        <w:trPr>
          <w:trHeight w:val="539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主訴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〔主要症狀及持續時間〕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  <w:tr>
        <w:trPr>
          <w:trHeight w:val="539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現病史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〔起病經過、治療情況〕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  <w:tr>
        <w:trPr>
          <w:trHeight w:val="539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舌象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〔舌質、舌苔〕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脈象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〔脈象〕</w:t>
            </w:r>
          </w:p>
        </w:tc>
      </w:tr>
      <w:tr>
        <w:trPr>
          <w:trHeight w:val="539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睡眠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〔睡眠〕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飲食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〔胃納、口味〕</w:t>
            </w:r>
          </w:p>
        </w:tc>
      </w:tr>
      <w:tr>
        <w:trPr>
          <w:trHeight w:val="539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大便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〔大便〕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小便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〔小便〕</w:t>
            </w:r>
          </w:p>
        </w:tc>
      </w:tr>
      <w:tr>
        <w:trPr>
          <w:trHeight w:val="539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月經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〔經期、經量；如適用〕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其他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〔其他四診所見〕</w:t>
            </w:r>
          </w:p>
        </w:tc>
      </w:tr>
      <w:tr>
        <w:trPr>
          <w:trHeight w:val="539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診斷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〔中醫病名〕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  <w:tr>
        <w:trPr>
          <w:trHeight w:val="539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證型（證候）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〔證型〕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  <w:tr>
        <w:trPr>
          <w:trHeight w:val="539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治法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〔治則治法〕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rFonts w:ascii="Microsoft JhengHei" w:hAnsi="Microsoft JhengHei" w:eastAsia="Microsoft JhengHei"/>
          <w:b/>
          <w:sz w:val="23"/>
        </w:rPr>
        <w:t>處理方法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8620" w:type="dxa"/>
        <w:tblLayout w:type="fixed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1928"/>
        <w:gridCol w:w="1191"/>
        <w:gridCol w:w="1191"/>
        <w:gridCol w:w="1928"/>
        <w:gridCol w:w="1191"/>
        <w:gridCol w:w="1191"/>
      </w:tblGrid>
      <w:tr>
        <w:tc>
          <w:tcPr>
            <w:tcW w:type="dxa" w:w="1928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藥名</w:t>
            </w:r>
          </w:p>
        </w:tc>
        <w:tc>
          <w:tcPr>
            <w:tcW w:type="dxa" w:w="1191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份量（克）</w:t>
            </w:r>
          </w:p>
        </w:tc>
        <w:tc>
          <w:tcPr>
            <w:tcW w:type="dxa" w:w="1191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煎法</w:t>
            </w:r>
          </w:p>
        </w:tc>
        <w:tc>
          <w:tcPr>
            <w:tcW w:type="dxa" w:w="1928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藥名</w:t>
            </w:r>
          </w:p>
        </w:tc>
        <w:tc>
          <w:tcPr>
            <w:tcW w:type="dxa" w:w="1191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份量（克）</w:t>
            </w:r>
          </w:p>
        </w:tc>
        <w:tc>
          <w:tcPr>
            <w:tcW w:type="dxa" w:w="1191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煎法</w:t>
            </w:r>
          </w:p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928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</w:tr>
    </w:tbl>
    <w:p>
      <w:pPr>
        <w:spacing w:after="40"/>
      </w:pP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9636" w:type="dxa"/>
        <w:tblLayout w:type="fixed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1587"/>
        <w:gridCol w:w="3231"/>
        <w:gridCol w:w="1587"/>
        <w:gridCol w:w="3231"/>
      </w:tblGrid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劑型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〔飲片／濃縮顆粒〕</w:t>
            </w:r>
          </w:p>
        </w:tc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用藥天數及服法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〔例如 3 日，每日 2 包，早晚飯後〕</w:t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針灸／其他治療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〔穴位、治療方法〕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醫囑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〔飲食宜忌、覆診安排〕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已發出文件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  <w:t>□ 處方　□ 收據（編號：　　）　□ 病假證明書（日數：　　）　□ 到診證明書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587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備註</w:t>
            </w:r>
          </w:p>
        </w:tc>
        <w:tc>
          <w:tcPr>
            <w:tcW w:type="dxa" w:w="3231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Microsoft JhengHei" w:hAnsi="Microsoft JhengHei" w:eastAsia="Microsoft JhengHei"/>
          <w:b w:val="0"/>
          <w:sz w:val="21"/>
        </w:rPr>
        <w:t>主診中醫：〔姓名〕　註冊編號：〔註冊編號〕　簽署：＿＿＿＿＿＿＿＿</w:t>
      </w:r>
    </w:p>
    <w:p>
      <w:pPr>
        <w:spacing w:after="0"/>
      </w:pPr>
      <w:r>
        <w:rPr>
          <w:rFonts w:ascii="Microsoft JhengHei" w:hAnsi="Microsoft JhengHei" w:eastAsia="Microsoft JhengHei"/>
          <w:b w:val="0"/>
          <w:color w:val="6B7280"/>
          <w:sz w:val="16"/>
        </w:rPr>
        <w:t>《香港註冊中醫專業守則》第 4(2) 條要求病歷載有病人姓名、性別、診症日期、聯絡方法、證候、診斷及處理方法；本範本另加常用的四診欄位，可按診所需要刪減。病歷屬個人資料，須按《個人資料（私隱）條例》妥善保管。範本由健雲中醫系統 medicloud.hk 提供，只供參考，使用前請按診所情況及最新守則核對。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中醫病歷紀錄範本</dc:title>
  <dc:subject/>
  <dc:creator>Medicloud CMS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